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2E" w:rsidRP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ГОРОДСКОГО ОКРУГА ЛОТОШИНО </w:t>
      </w:r>
    </w:p>
    <w:p w:rsidR="0072322E" w:rsidRP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МОСКОВСКОЙ ОБЛАСТИ </w:t>
      </w:r>
    </w:p>
    <w:p w:rsidR="0072322E" w:rsidRPr="0072322E" w:rsidRDefault="0072322E" w:rsidP="007232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2322E" w:rsidRP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72322E" w:rsidRP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декабря 2019 г. N 58/6 </w:t>
      </w:r>
    </w:p>
    <w:p w:rsidR="0072322E" w:rsidRPr="0072322E" w:rsidRDefault="0072322E" w:rsidP="007232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2322E" w:rsidRP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ЗЕМЕЛЬНОМ НАЛОГЕ И СТАВОК </w:t>
      </w:r>
    </w:p>
    <w:p w:rsidR="0072322E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ЗЕМЕЛЬНОГО НАЛОГА НА ТЕРРИТОРИИ ГОРОДСКОГО ОКРУГА ЛОТОШИНО </w:t>
      </w:r>
    </w:p>
    <w:p w:rsidR="006827AF" w:rsidRPr="0072322E" w:rsidRDefault="006827AF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322E" w:rsidRPr="006827AF" w:rsidRDefault="006827AF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2E"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Совета депутатов городского округа Лотошино МО </w:t>
      </w:r>
    </w:p>
    <w:p w:rsidR="0072322E" w:rsidRPr="006827AF" w:rsidRDefault="0072322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04.06.2020 </w:t>
      </w:r>
      <w:hyperlink r:id="rId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123/11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27.08.2020 </w:t>
      </w:r>
      <w:hyperlink r:id="rId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145/13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27.08.2020 </w:t>
      </w:r>
      <w:hyperlink r:id="rId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153/13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343E" w:rsidRDefault="0072322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29.04.2021 </w:t>
      </w:r>
      <w:hyperlink r:id="rId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243/23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29.09.2022 </w:t>
      </w:r>
      <w:hyperlink r:id="rId8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370/45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30.03.2023 </w:t>
      </w:r>
      <w:hyperlink r:id="rId9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433/50</w:t>
        </w:r>
      </w:hyperlink>
      <w:r w:rsidR="006F3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72322E" w:rsidRPr="006827AF" w:rsidRDefault="006F343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26.10.2023 №487/56</w:t>
      </w:r>
      <w:r w:rsidR="0072322E"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1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от 17.09.2019 N 4/2 "О правопреемстве органов местного самоуправления городского округа Лотошино", Совет депутатов городского округа Лотошино решил: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земельном налоге на территории городского округа Лотошино (приложение N 1).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p21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ставки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на территории городского округа Лотошино (приложение N 2).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утратившими силу с 01.01.2020 </w:t>
      </w:r>
      <w:hyperlink r:id="rId1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Лотошино от 29.10.2010 N 98/11 "Об утверждении положения о земельном налоге на территории городского поселения Лотошино".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утратившими силу с 01.01.2020 </w:t>
      </w:r>
      <w:hyperlink r:id="rId1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поселения Лотошино от 19 октября 2018 г. N 89/14 "Об утверждении ставок земельного налога на 2019 год".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утратившими силу с 01.01.2020 </w:t>
      </w:r>
      <w:hyperlink r:id="rId1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Ошейкинское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26.10.2011 N 72/16 "Об утверждении положения о земельном налоге на территории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Ошейкинское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Признать утратившими силу с 01.01.2020 </w:t>
      </w:r>
      <w:hyperlink r:id="rId1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Ошейкинское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октября 2018 г. N 207/37 "Об утверждении ставок земельного налога на 2019 год на территории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Ошейкинское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Признать утратившими силу с 01.01.2020 </w:t>
      </w:r>
      <w:hyperlink r:id="rId1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02.11.2011 N 142/15 "Об утверждении положения о земельном налоге на территории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решение вступает в силу с 1 января 2020 года.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Опубликовать настоящее решение в газете "Сельская Новь" и разместить на официальном сайте администрации городского округа Лотошино.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Глумцев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Лотошино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Долгасова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декабря 2019 г. N 58/6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42"/>
      <w:bookmarkEnd w:id="0"/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72322E" w:rsidRPr="006827AF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ЗЕМЕЛЬНОМ НАЛОГЕ НА ТЕРРИТОРИИ ГОРОДСКОГО ОКРУГА ЛОТОШИНО </w:t>
      </w:r>
    </w:p>
    <w:p w:rsidR="0072322E" w:rsidRPr="006827AF" w:rsidRDefault="006827AF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2E"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Совета депутатов городского округа Лотошино МО </w:t>
      </w:r>
    </w:p>
    <w:p w:rsidR="0072322E" w:rsidRPr="006827AF" w:rsidRDefault="0072322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27.08.2020 </w:t>
      </w:r>
      <w:hyperlink r:id="rId18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145/13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27.08.2020 </w:t>
      </w:r>
      <w:hyperlink r:id="rId19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153/13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29.04.2021 </w:t>
      </w:r>
      <w:hyperlink r:id="rId2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243/23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322E" w:rsidRPr="006827AF" w:rsidRDefault="0072322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29.09.2022 </w:t>
      </w:r>
      <w:hyperlink r:id="rId2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370/45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30.03.2023 </w:t>
      </w:r>
      <w:hyperlink r:id="rId2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433/50</w:t>
        </w:r>
      </w:hyperlink>
      <w:r w:rsidR="006F3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3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26.10.2023 №487/56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Общие положения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определяются порядок и сроки уплаты земельного налога (далее - налог), налоговые льготы, основания и порядок их применения на территории городского округа Лотошино.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Представительным органом городского округа Лотошино устанавливаются налоговые ставки в порядке и в пределах, установленных </w:t>
      </w:r>
      <w:hyperlink r:id="rId2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главой 31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территории городского округа Лотошино действуют все нормы и положения, установленные </w:t>
      </w:r>
      <w:hyperlink r:id="rId2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главой 31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не оговоренные настоящим Положением.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округа Лотошино.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Объектом налогообложения признаются земельные участки, расположенные в пределах территории городского округа Лотошино.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Налоговым </w:t>
      </w:r>
      <w:hyperlink r:id="rId2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145/13)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2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145/13.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Порядок и сроки уплаты земельного налога и авансовых платежей по земельному налогу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Налоговым периодом признается календарный год.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 не позднее 1 марта года, следующего за истекшим налоговым периодом.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</w:t>
      </w:r>
      <w:hyperlink r:id="rId28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29.09.2022 N 370/45)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Налогоплательщики в соответствии со </w:t>
      </w:r>
      <w:hyperlink r:id="rId29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83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отнесенные к категории крупнейших, представляют налоговые декларации в налоговый орган по месту учета в качестве крупнейших налогоплательщиков.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0"/>
      <w:bookmarkEnd w:id="1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Налоговым </w:t>
      </w:r>
      <w:hyperlink r:id="rId3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</w:t>
      </w:r>
      <w:hyperlink r:id="rId3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145/13)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Налогоплательщики-организации исчисляют сумму налога (сумму авансовых платежей по налогу) самостоятельно.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указанные в настоящем пункте,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4"/>
      <w:bookmarkEnd w:id="2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7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суммами подлежащих уплате в течение налогового периода авансовых платежей по налогу.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Сумма налога, подлежащая уплате в бюджет налогоплательщиками - физическими лицами, исчисляется налоговыми органами.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 следующий порядок и сроки уплаты земельного налога и авансовых платежей: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Налог и авансовые платежи по налогу в отношении земельных участков, расположенных на территории городского округа Лотошино, уплачиваются налогоплательщиками - организациями и физическими лицами в бюджет городского округа Лотошино Московской области.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течение налогового периода налогоплательщики-организации уплачивают авансовые платежи по земельному налогу. По истечении налогового периода налогоплательщики-организации уплачивают сумму налога в порядке, предусмотренном </w:t>
      </w:r>
      <w:hyperlink w:anchor="p7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7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Установить для налогоплательщиков-организаций: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9.3.1. Срок уплаты налога по итогам налогового периода - не позднее 1 марта года, следующего за истекшим налоговым периодом;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9.3.1 в ред. </w:t>
      </w:r>
      <w:hyperlink r:id="rId3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29.09.2022 N 370/45)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9.3.2 в ред. </w:t>
      </w:r>
      <w:hyperlink r:id="rId3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29.09.2022 N 370/45)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 случае неуплаты земельного налога в установленный срок начисляются пени в размере, установленном действующим законодательством.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 на налоговые льготы. Порядок и сроки представления налогоплательщиками документов, подтверждающих право на уменьшение налоговой базы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Освобождаются от налогообложения организации, учреждения и физические лица, указанные в </w:t>
      </w:r>
      <w:hyperlink r:id="rId3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395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0"/>
      <w:bookmarkEnd w:id="3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категорий налогоплательщиков, перечисленных в </w:t>
      </w:r>
      <w:hyperlink r:id="rId3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5 статьи 391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РФ,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указанных налогоплательщиков, в порядке, предусмотренном </w:t>
      </w:r>
      <w:hyperlink r:id="rId3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6.1 статьи 391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Уменьшение налоговой базы в размере, установленном </w:t>
      </w:r>
      <w:hyperlink w:anchor="p9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2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7.4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7.8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производится налоговым органом по месту нахождения земельного участка на основании заявления налогоплательщика.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Налоговая база уменьшается на 25 процентов в отношении следующих категорий налогоплательщиков: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3"/>
      <w:bookmarkEnd w:id="4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Инвалиды, имеющие первую группу инвалидности.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льготу заявителем в налоговый орган представляются документы: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правоустанавливающего документа на земельный участок;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справки медико-социальной экспертизы.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Налоговая база уменьшается на 50 процентов в отношении следующих категорий налогоплательщиков: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Пенсионеры, доход которых ниже двукратной величины прожиточного минимума, установленной в Московской области для пенсионеров.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Расчет среднедушевого дохода семьи, дохода одиноко проживающего гражданина и дохода пенсионера производится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</w:t>
      </w:r>
      <w:hyperlink r:id="rId3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38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льготу заявителем в налоговый орган представляются документы: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пенсионного удостоверения (для пенсионеров);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справка, выданная органом социальной защиты населения по месту жительства (территориальными структурными подразделениями Министерства социальной защиты населения Московской области.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6"/>
      <w:bookmarkEnd w:id="5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Налоговая база уменьшается на необлагаемую налогом сумму в размере 20 000 (двадцать тысяч) рублей на одного налогоплательщика в отношении одного земельного участка (по выбору налогоплательщика) из состава земель населенного пункта, предоставленного для ведения личного подсобного хозяйства, садоводства, огородничества, дачного строительства или жилищного строительства (в том числе индивидуального), находящегося в собственности, постоянном (бессрочном) пользовании или в пожизненном наследуемом владении физического лица, достигшего пенсионного возраста.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льготу, представляются в налоговый орган: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правоустанавливающего документа на земельный участок;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пенсионного удостоверения.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Освобождаются от уплаты налога на территории городского округа Лотошино следующие категории налогоплательщиков: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End w:id="6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Органы местного самоуправления в отношении земельных участков, используемых ими для непосредственного выполнения возложенных на них функций.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3"/>
      <w:bookmarkEnd w:id="7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 Лотошино.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Документами, подтверждающими право на льготу, предусмотренную </w:t>
      </w:r>
      <w:hyperlink w:anchor="p11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7.1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7.2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являются устав (Положение), свидетельство о государственной регистрации юридического лица, нормативные правовые акты органов государственной власти, местного самоуправления, подтверждающие статус указанных лиц.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5"/>
      <w:bookmarkEnd w:id="8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Ветераны и инвалиды Великой Отечественной войны, участники Великой Отечественной войны, граждане на которых законодательством распространены социальные гарантии и льготы участников Великой Отечественной Войны (узники, репрессированные), а также ветераны и инвалиды боевых действий.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7.4 в ред. </w:t>
      </w:r>
      <w:hyperlink r:id="rId39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30.03.2023 N 433/50) </w:t>
      </w:r>
    </w:p>
    <w:p w:rsidR="006F343E" w:rsidRPr="006F343E" w:rsidRDefault="0072322E" w:rsidP="006F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6F343E" w:rsidRPr="006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Федерации, полные кавалеры ордена Славы, женщины, которым в установленном порядке присвоено звание «Мать-Героиня».</w:t>
      </w:r>
    </w:p>
    <w:p w:rsidR="006F343E" w:rsidRPr="006F343E" w:rsidRDefault="006F343E" w:rsidP="006F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которым в установленном порядке присвоено звание «Мать-Героиня» освобождаются от уплаты земельного налога в отношении одного земельного участка.</w:t>
      </w:r>
    </w:p>
    <w:p w:rsidR="006F343E" w:rsidRPr="006F343E" w:rsidRDefault="006F343E" w:rsidP="006F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права на льготу в налоговый орган заявителем представляются документы:</w:t>
      </w:r>
    </w:p>
    <w:p w:rsidR="006F343E" w:rsidRPr="006F343E" w:rsidRDefault="006F343E" w:rsidP="006F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страниц 2, 3 и 5 паспорта заявителя;</w:t>
      </w:r>
      <w:bookmarkStart w:id="9" w:name="_GoBack"/>
      <w:bookmarkEnd w:id="9"/>
    </w:p>
    <w:p w:rsidR="006F343E" w:rsidRPr="006F343E" w:rsidRDefault="006F343E" w:rsidP="006F34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удостоверения.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Налогоплательщики - физические лица, являющиеся почетными жителями Лотошинского района, городского поселения Лотошино Лотошинского района, сельского поселения </w:t>
      </w:r>
      <w:proofErr w:type="spellStart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Микулинское</w:t>
      </w:r>
      <w:proofErr w:type="spellEnd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Лотошинского района, городского округа Лотошино, чьи земельные участки расположены на территории городского округа Лотошино (для сумм налога, исчисленных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также для хранения автотранспорта).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льготу в налоговый орган заявителем представляются документы: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копия нормативного правового акта органов местного самоуправления о присвоении звания почетного жителя.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Многодетные семьи и семьи (усыновители, опекуны), воспитывающие детей-инвалидов.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льготу в налоговый орган заявителем представляются документы: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 заявителя;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справку, в которой указываются категория семьи, количество несовершеннолетних детей на иждивении по состоянию на 1 января года, являющегося налоговым периодом, выданную органами социальной защиты населения по месту жительства.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29"/>
      <w:bookmarkEnd w:id="10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Гражданам 1924-1945 года рождения, (Дети войны).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права на льготу в налоговый орган заявителем представляются документы: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страниц 2, 3 и 5 паспорта.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Предоставление льгот по уплате налога для налогоплательщиков - физических лиц, перечисленных в настоящей статье, носит заявительный характер. Заявление о предоставлении льготы с приложением документов, подтверждающих право на уменьшение налоговой базы и предоставление иных льгот по налогу, подается налогоплательщиками в налоговые органы в порядке и сроки, предусмотренные действующим налоговым законодательством.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случае, когда налогоплательщик относится к нескольким льготным категориям, предусмотренным настоящим решением, льгота предоставляется по одному из оснований по выбору налогоплательщика.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Льгота может быть представлена, в отношении одного земельного участка по выбору налогоплательщика.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3.2. Предоставление налоговых льгот отдельным категориям налогоплательщиков льготы для некоммерческих организаций, проводящих мероприятия по охране и воспроизводству охотничьей фауны и рыбных запасов в угодьях, освободив их от налогообложения с 2020 года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40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153/13)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41"/>
      <w:bookmarkEnd w:id="11"/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некоммерческим организациям, проводящим мероприятия по охране и воспроизводству охотничьей фауны и рыбных запасов в угодьях, налоговую льготу по уплате земельного налога за земельные участки, на которых расположены объекты недвижимости, используемые в указанных целях.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Налоговая льгота, установленная настоящей статьей, предоставляется организациям, указанным в пункте 1 настоящей статьи, в виде освобождения от уплаты земельного налога, при условии, что земельные участки используются ими для непосредственного выполнения возложенных на них функций, находятся в их собственности и не используемого налогоплательщиком в предпринимательской деятельности.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Налоговая льгота по земельному налогу, указанная в </w:t>
      </w:r>
      <w:hyperlink w:anchor="p14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предоставляется в размере 100%.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применения налоговой льготы по земельному налогу, указанной в </w:t>
      </w:r>
      <w:hyperlink w:anchor="p14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заявление о предоставлении налоговой льготы по земельному налогу, представленной в налоговый орган в соответствии с законодательством о налогах и сборах, устав организации или устав организации, членом (структурным подразделением) которой является получатель льготы.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3.3. Предоставление налоговых льгот отдельным категориям налогоплательщиков льготы для организаций - инвесторов, осуществивших капитальные вложения в объекты основных средств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41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29.04.2021 N 243/23)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налоговые льготы организациям - инвесторам, осуществившим капитальные вложения в объекты основных средств, в виде освобождения от уплаты земельного налога, в отношении земельного участка на котором расположен объект основных средств стоимостью не менее пятидесяти миллионов рублей, который впервые введен в эксплуатацию и принят на бухгалтерский учет - в размере 100%.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Инвестором в целях настоящей статьи признается юридическое лицо: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осуществившее капитальные вложения в новое строительство объекта основных средств стоимостью не менее пятидесяти миллионов рублей, который впервые введен в эксплуатацию;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осуществившее капитальные вложения стоимостью не менее пятидесяти миллионов рублей в новое строительство административно-делового центра и (или) помещений, являющихся частью одного административно-делового центра.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настоящей статьи: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 административно-деловым центром понимается нежилое здание, сооружение, вновь построенное и впервые введенное в эксплуатацию, право собственности, на которое зарегистрировано после 1 января 2021 года, которое соответствует требованиям </w:t>
      </w:r>
      <w:hyperlink r:id="rId42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3 статьи 378.2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 помещениями, являющимися частью одного административно-делового центра, понимается одна или несколько частей административно-делового центра, вновь построенного и впервые введенного в эксплуатацию, право собственности на которое зарегистрировано после 1 января 2021 года, который соответствует требованиям </w:t>
      </w:r>
      <w:hyperlink r:id="rId43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3 статьи 378.2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настоящей статьи объект основных средств стоимостью не менее пятидесяти миллионов рублей, который впервые введен в эксплуатацию (далее - объект основных средств) определяется в соответствии с Общероссийским </w:t>
      </w:r>
      <w:hyperlink r:id="rId44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фондов ОК 013-2014 (СНС 2008) (далее - ОКОФ):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5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007"/>
        <w:gridCol w:w="3930"/>
      </w:tblGrid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группировки ОКОФ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основных фондов ОКОФ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(кроме жилых)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210.00.00.00.000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220.00.00.00.000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настоящей статьи не распространяется на объекты основных средств, которые предназначены и (или) используются для оптовой и (или) розничной торговли.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льгота предоставляется инвесторам, осуществляющим следующие виды экономической деятельности (в соответствии с Общероссийским </w:t>
      </w:r>
      <w:hyperlink r:id="rId4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классификатором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ОК 029-2014 (КДЕС Ред. 2) (далее - ОКВЭД).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5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930"/>
        <w:gridCol w:w="1140"/>
      </w:tblGrid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ОКВЭД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 А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"Сельское, лесное хозяйство, охота рыболовство и рыбоводство"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 С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"Обрабатывающие производства"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 Н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"Транспортировка и хранение"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управление собственным или арендованным нежилым недвижимым имуществом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68.20.2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7AF" w:rsidRPr="006827AF" w:rsidTr="007232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72322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эксплуатацией нежилого фонда за вознаграждение или на договорной основе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22E" w:rsidRPr="006827AF" w:rsidRDefault="006F343E" w:rsidP="007232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2322E" w:rsidRPr="006827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68.32.2</w:t>
              </w:r>
            </w:hyperlink>
            <w:r w:rsidR="0072322E" w:rsidRPr="0068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Налоговая льгота по земельному налогу предоставляется инвесторам в отношении земельного участка, приобретенного под новое строительство объекта основных средств на территории городского округа Лотошино Московской области, принятого на бухгалтерский учет после 1 января 2021 года, и применяется в течение двух последовательных налоговых периодов, начиная с налогового периода, следующего за налоговым периодом, в котором впервые введен в эксплуатацию объект основных средств.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организациям, заявившим льготу по налогу в соответствии с настоящей статьей, устанавливаются дополнительные требования: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и эксплуатация объекта основных средств повлекли увеличение среднесписочной численности работников инвестора, осуществляющего деятельность на территории городского округа Лотошино Московской области, в котором расположен такой объект основных средств, более чем на 50 единиц, которое сохраняется в течение налоговых периодов, в которых применяется налоговая льгота;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среднесписочная численность работников, постоянно зарегистрированных по месту жительства на территории Московской области, должна составлять не менее 50% от общей среднесписочной численности работников.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прекращения у инвестора в течение одного года после ввода в эксплуатацию права собственности на объект основных средств инвестор не вправе применять налоговую льготу на земельный участок, на котором расположен объект основных средств, право собственности на который прекращено.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Порядок доведения до сведения налогоплательщиков кадастровой стоимости земельных участков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72322E" w:rsidRPr="006827AF" w:rsidRDefault="0072322E" w:rsidP="00723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декабря 2019 г. N 58/6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p216"/>
      <w:bookmarkEnd w:id="12"/>
      <w:r w:rsidRPr="00682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СТАВКИ ЗЕМЕЛЬНОГО НАЛОГА </w:t>
      </w:r>
    </w:p>
    <w:p w:rsidR="0072322E" w:rsidRPr="006827AF" w:rsidRDefault="006827AF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2E"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4" w:history="1">
        <w:r w:rsidR="0072322E"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="0072322E"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</w:t>
      </w:r>
    </w:p>
    <w:p w:rsidR="0072322E" w:rsidRPr="006827AF" w:rsidRDefault="0072322E" w:rsidP="0068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27.08.2020 N 145/13)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следующие налоговые ставки от кадастровой стоимости земельных участков: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0,3 процента от кадастровой стоимости - в отношении земельных участков: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5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145/13)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6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72322E" w:rsidRPr="006827AF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6827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Лотошино МО от 27.08.2020 N 145/13)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садоводческих некоммерческих объединений граждан;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0,4 процента от кадастровой стоимости - в отношении земельных участков, представленных для хранения автотранспорта.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0,7 процента от кадастровой ст</w:t>
      </w:r>
      <w:r w:rsid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оимости - в отношении земельных 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на праве постоянного (бессрочного) пользования учреждениям здравоохранения.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1,5 процента от кадастровой стоимости - в отношении земельных участков: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используемых по целевому назначению; </w:t>
      </w:r>
    </w:p>
    <w:p w:rsidR="0072322E" w:rsidRPr="006827AF" w:rsidRDefault="0072322E" w:rsidP="00723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прочих земельных участков. </w:t>
      </w:r>
    </w:p>
    <w:p w:rsidR="0072322E" w:rsidRPr="0072322E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322E" w:rsidRPr="0072322E" w:rsidRDefault="0072322E" w:rsidP="0072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72322E" w:rsidRPr="0072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2E"/>
    <w:rsid w:val="000011C6"/>
    <w:rsid w:val="00002C74"/>
    <w:rsid w:val="00003C56"/>
    <w:rsid w:val="00004475"/>
    <w:rsid w:val="00005728"/>
    <w:rsid w:val="000125BD"/>
    <w:rsid w:val="00012B61"/>
    <w:rsid w:val="00013101"/>
    <w:rsid w:val="0001321B"/>
    <w:rsid w:val="000134C3"/>
    <w:rsid w:val="00013914"/>
    <w:rsid w:val="00016F85"/>
    <w:rsid w:val="00032362"/>
    <w:rsid w:val="00032D71"/>
    <w:rsid w:val="00035834"/>
    <w:rsid w:val="000367D5"/>
    <w:rsid w:val="0003780A"/>
    <w:rsid w:val="00041D1F"/>
    <w:rsid w:val="000426E4"/>
    <w:rsid w:val="0005329B"/>
    <w:rsid w:val="00055436"/>
    <w:rsid w:val="000615E8"/>
    <w:rsid w:val="0006243E"/>
    <w:rsid w:val="000634A0"/>
    <w:rsid w:val="00071F3B"/>
    <w:rsid w:val="0007561D"/>
    <w:rsid w:val="00083132"/>
    <w:rsid w:val="0008443F"/>
    <w:rsid w:val="00084A35"/>
    <w:rsid w:val="0009083E"/>
    <w:rsid w:val="00090862"/>
    <w:rsid w:val="00092118"/>
    <w:rsid w:val="00094EAB"/>
    <w:rsid w:val="000A4F3F"/>
    <w:rsid w:val="000A7D2E"/>
    <w:rsid w:val="000B44E1"/>
    <w:rsid w:val="000B4B23"/>
    <w:rsid w:val="000B5BFE"/>
    <w:rsid w:val="000B735C"/>
    <w:rsid w:val="000B7D1A"/>
    <w:rsid w:val="000D0641"/>
    <w:rsid w:val="000E04AC"/>
    <w:rsid w:val="000E4FD7"/>
    <w:rsid w:val="000E787D"/>
    <w:rsid w:val="000F3913"/>
    <w:rsid w:val="000F5DDA"/>
    <w:rsid w:val="001056BA"/>
    <w:rsid w:val="0010656A"/>
    <w:rsid w:val="0011288F"/>
    <w:rsid w:val="001147D4"/>
    <w:rsid w:val="00116DB5"/>
    <w:rsid w:val="00120029"/>
    <w:rsid w:val="001254FB"/>
    <w:rsid w:val="00137832"/>
    <w:rsid w:val="0014112E"/>
    <w:rsid w:val="001423CC"/>
    <w:rsid w:val="00142B26"/>
    <w:rsid w:val="0014575B"/>
    <w:rsid w:val="0014612F"/>
    <w:rsid w:val="001521DA"/>
    <w:rsid w:val="00155F33"/>
    <w:rsid w:val="00157F90"/>
    <w:rsid w:val="0016198D"/>
    <w:rsid w:val="00161A26"/>
    <w:rsid w:val="001638FE"/>
    <w:rsid w:val="00164B02"/>
    <w:rsid w:val="00164DBF"/>
    <w:rsid w:val="00165C12"/>
    <w:rsid w:val="00167646"/>
    <w:rsid w:val="00171397"/>
    <w:rsid w:val="00171BB6"/>
    <w:rsid w:val="00175CDC"/>
    <w:rsid w:val="00181EC8"/>
    <w:rsid w:val="001822A1"/>
    <w:rsid w:val="001838C1"/>
    <w:rsid w:val="00184300"/>
    <w:rsid w:val="0019103F"/>
    <w:rsid w:val="00193459"/>
    <w:rsid w:val="00193E16"/>
    <w:rsid w:val="00195DB3"/>
    <w:rsid w:val="001963F5"/>
    <w:rsid w:val="001968A3"/>
    <w:rsid w:val="001A03B6"/>
    <w:rsid w:val="001A164D"/>
    <w:rsid w:val="001A228D"/>
    <w:rsid w:val="001A3640"/>
    <w:rsid w:val="001A3791"/>
    <w:rsid w:val="001A4137"/>
    <w:rsid w:val="001A7582"/>
    <w:rsid w:val="001B422F"/>
    <w:rsid w:val="001B72CB"/>
    <w:rsid w:val="001B751F"/>
    <w:rsid w:val="001C5112"/>
    <w:rsid w:val="001C5975"/>
    <w:rsid w:val="001C6E54"/>
    <w:rsid w:val="001D0462"/>
    <w:rsid w:val="001D1815"/>
    <w:rsid w:val="001D5ADA"/>
    <w:rsid w:val="001D6F0A"/>
    <w:rsid w:val="001D760F"/>
    <w:rsid w:val="001D7E6D"/>
    <w:rsid w:val="001E07AE"/>
    <w:rsid w:val="001E1255"/>
    <w:rsid w:val="001E201F"/>
    <w:rsid w:val="001E4BA0"/>
    <w:rsid w:val="001E5A47"/>
    <w:rsid w:val="001E64E4"/>
    <w:rsid w:val="001E725F"/>
    <w:rsid w:val="001F2A5B"/>
    <w:rsid w:val="001F4D88"/>
    <w:rsid w:val="001F63AA"/>
    <w:rsid w:val="00202099"/>
    <w:rsid w:val="00205976"/>
    <w:rsid w:val="00214833"/>
    <w:rsid w:val="00214F56"/>
    <w:rsid w:val="00215278"/>
    <w:rsid w:val="00220B90"/>
    <w:rsid w:val="00222A9D"/>
    <w:rsid w:val="00224B1B"/>
    <w:rsid w:val="00225D51"/>
    <w:rsid w:val="00225E55"/>
    <w:rsid w:val="0022718F"/>
    <w:rsid w:val="002320EA"/>
    <w:rsid w:val="002338C8"/>
    <w:rsid w:val="00236AC8"/>
    <w:rsid w:val="00246912"/>
    <w:rsid w:val="002502AD"/>
    <w:rsid w:val="00250685"/>
    <w:rsid w:val="00250BA9"/>
    <w:rsid w:val="00250BED"/>
    <w:rsid w:val="00251B2E"/>
    <w:rsid w:val="00264768"/>
    <w:rsid w:val="002665CA"/>
    <w:rsid w:val="002666C5"/>
    <w:rsid w:val="00271C7B"/>
    <w:rsid w:val="00276BCB"/>
    <w:rsid w:val="0028043F"/>
    <w:rsid w:val="002805B0"/>
    <w:rsid w:val="0028220F"/>
    <w:rsid w:val="00283B9B"/>
    <w:rsid w:val="00284CAA"/>
    <w:rsid w:val="00287CCC"/>
    <w:rsid w:val="0029537A"/>
    <w:rsid w:val="002968C6"/>
    <w:rsid w:val="00296B27"/>
    <w:rsid w:val="002A0654"/>
    <w:rsid w:val="002A3142"/>
    <w:rsid w:val="002A3C12"/>
    <w:rsid w:val="002B0848"/>
    <w:rsid w:val="002B1BDA"/>
    <w:rsid w:val="002B5EEF"/>
    <w:rsid w:val="002B6624"/>
    <w:rsid w:val="002C2244"/>
    <w:rsid w:val="002C27C3"/>
    <w:rsid w:val="002D115A"/>
    <w:rsid w:val="002D1DE0"/>
    <w:rsid w:val="002D5E7B"/>
    <w:rsid w:val="002D6FCC"/>
    <w:rsid w:val="002E313C"/>
    <w:rsid w:val="002E43FA"/>
    <w:rsid w:val="002F02FC"/>
    <w:rsid w:val="002F3338"/>
    <w:rsid w:val="002F3940"/>
    <w:rsid w:val="003170A1"/>
    <w:rsid w:val="00322A37"/>
    <w:rsid w:val="0033408C"/>
    <w:rsid w:val="0033442E"/>
    <w:rsid w:val="003344A2"/>
    <w:rsid w:val="00335CC5"/>
    <w:rsid w:val="00337593"/>
    <w:rsid w:val="00342615"/>
    <w:rsid w:val="00343254"/>
    <w:rsid w:val="003450B8"/>
    <w:rsid w:val="00345879"/>
    <w:rsid w:val="003476F2"/>
    <w:rsid w:val="00352119"/>
    <w:rsid w:val="003521B3"/>
    <w:rsid w:val="0035478E"/>
    <w:rsid w:val="00357B05"/>
    <w:rsid w:val="003602B4"/>
    <w:rsid w:val="003643C6"/>
    <w:rsid w:val="003718FB"/>
    <w:rsid w:val="003763E7"/>
    <w:rsid w:val="00382017"/>
    <w:rsid w:val="003832FA"/>
    <w:rsid w:val="00383D67"/>
    <w:rsid w:val="0038635B"/>
    <w:rsid w:val="00386F62"/>
    <w:rsid w:val="00390879"/>
    <w:rsid w:val="00397DD9"/>
    <w:rsid w:val="003A0425"/>
    <w:rsid w:val="003A0611"/>
    <w:rsid w:val="003A7149"/>
    <w:rsid w:val="003B312D"/>
    <w:rsid w:val="003C10AD"/>
    <w:rsid w:val="003C1B0C"/>
    <w:rsid w:val="003D116C"/>
    <w:rsid w:val="003D20CE"/>
    <w:rsid w:val="003D58CF"/>
    <w:rsid w:val="003D7476"/>
    <w:rsid w:val="003D7513"/>
    <w:rsid w:val="003E3DF9"/>
    <w:rsid w:val="003E526E"/>
    <w:rsid w:val="003E7DDF"/>
    <w:rsid w:val="003F0BAE"/>
    <w:rsid w:val="003F3EF5"/>
    <w:rsid w:val="003F7A20"/>
    <w:rsid w:val="003F7A6E"/>
    <w:rsid w:val="003F7D47"/>
    <w:rsid w:val="00402A53"/>
    <w:rsid w:val="004033E1"/>
    <w:rsid w:val="0040414E"/>
    <w:rsid w:val="004079A5"/>
    <w:rsid w:val="00407D37"/>
    <w:rsid w:val="00411BBB"/>
    <w:rsid w:val="00413176"/>
    <w:rsid w:val="00414029"/>
    <w:rsid w:val="0041464D"/>
    <w:rsid w:val="0041541F"/>
    <w:rsid w:val="004203DC"/>
    <w:rsid w:val="00420E46"/>
    <w:rsid w:val="0042488D"/>
    <w:rsid w:val="004327A3"/>
    <w:rsid w:val="00436783"/>
    <w:rsid w:val="00436B7C"/>
    <w:rsid w:val="00436CF9"/>
    <w:rsid w:val="00443CFF"/>
    <w:rsid w:val="00453BEE"/>
    <w:rsid w:val="004547C6"/>
    <w:rsid w:val="004575AE"/>
    <w:rsid w:val="00471381"/>
    <w:rsid w:val="0047415F"/>
    <w:rsid w:val="00481082"/>
    <w:rsid w:val="004818B5"/>
    <w:rsid w:val="00485873"/>
    <w:rsid w:val="0049352D"/>
    <w:rsid w:val="004966BC"/>
    <w:rsid w:val="004A0D90"/>
    <w:rsid w:val="004B3964"/>
    <w:rsid w:val="004C2441"/>
    <w:rsid w:val="004C3020"/>
    <w:rsid w:val="004C644A"/>
    <w:rsid w:val="004C6EE4"/>
    <w:rsid w:val="004D63A7"/>
    <w:rsid w:val="004D6EF1"/>
    <w:rsid w:val="004E13EA"/>
    <w:rsid w:val="004E4F60"/>
    <w:rsid w:val="004E6F3F"/>
    <w:rsid w:val="00505980"/>
    <w:rsid w:val="00510DDF"/>
    <w:rsid w:val="00511422"/>
    <w:rsid w:val="0051168C"/>
    <w:rsid w:val="005130A2"/>
    <w:rsid w:val="005147C7"/>
    <w:rsid w:val="00514B63"/>
    <w:rsid w:val="00525E24"/>
    <w:rsid w:val="005260E9"/>
    <w:rsid w:val="00526B29"/>
    <w:rsid w:val="0053014B"/>
    <w:rsid w:val="00530BC1"/>
    <w:rsid w:val="005345D1"/>
    <w:rsid w:val="00543E0A"/>
    <w:rsid w:val="00547404"/>
    <w:rsid w:val="005611C0"/>
    <w:rsid w:val="005614BA"/>
    <w:rsid w:val="00563955"/>
    <w:rsid w:val="00564BF2"/>
    <w:rsid w:val="00571D25"/>
    <w:rsid w:val="0057699C"/>
    <w:rsid w:val="00586021"/>
    <w:rsid w:val="00590E07"/>
    <w:rsid w:val="00596DA9"/>
    <w:rsid w:val="005A3541"/>
    <w:rsid w:val="005A661F"/>
    <w:rsid w:val="005B0728"/>
    <w:rsid w:val="005B1BBF"/>
    <w:rsid w:val="005B2256"/>
    <w:rsid w:val="005B609E"/>
    <w:rsid w:val="005B67D6"/>
    <w:rsid w:val="005C14C6"/>
    <w:rsid w:val="005C3954"/>
    <w:rsid w:val="005C3F43"/>
    <w:rsid w:val="005C485A"/>
    <w:rsid w:val="005C6A27"/>
    <w:rsid w:val="005D051C"/>
    <w:rsid w:val="005D3F88"/>
    <w:rsid w:val="005D61C3"/>
    <w:rsid w:val="005D6394"/>
    <w:rsid w:val="005E1D09"/>
    <w:rsid w:val="005E5773"/>
    <w:rsid w:val="005F0403"/>
    <w:rsid w:val="005F1346"/>
    <w:rsid w:val="005F6213"/>
    <w:rsid w:val="005F6D68"/>
    <w:rsid w:val="00601A7F"/>
    <w:rsid w:val="0060285A"/>
    <w:rsid w:val="0061093E"/>
    <w:rsid w:val="00610A97"/>
    <w:rsid w:val="006116C4"/>
    <w:rsid w:val="006131EB"/>
    <w:rsid w:val="00613B90"/>
    <w:rsid w:val="006202C5"/>
    <w:rsid w:val="00620F77"/>
    <w:rsid w:val="00622048"/>
    <w:rsid w:val="00624307"/>
    <w:rsid w:val="00626826"/>
    <w:rsid w:val="006369AB"/>
    <w:rsid w:val="00644D07"/>
    <w:rsid w:val="006463A4"/>
    <w:rsid w:val="00653AF3"/>
    <w:rsid w:val="00664068"/>
    <w:rsid w:val="00665275"/>
    <w:rsid w:val="00670CB7"/>
    <w:rsid w:val="00672378"/>
    <w:rsid w:val="006747D8"/>
    <w:rsid w:val="0067766E"/>
    <w:rsid w:val="006827AF"/>
    <w:rsid w:val="00683468"/>
    <w:rsid w:val="00691961"/>
    <w:rsid w:val="00692B1E"/>
    <w:rsid w:val="00696375"/>
    <w:rsid w:val="00696F2C"/>
    <w:rsid w:val="006A3164"/>
    <w:rsid w:val="006A3AB3"/>
    <w:rsid w:val="006A5156"/>
    <w:rsid w:val="006A558C"/>
    <w:rsid w:val="006A7B00"/>
    <w:rsid w:val="006B3664"/>
    <w:rsid w:val="006B3EFE"/>
    <w:rsid w:val="006B5913"/>
    <w:rsid w:val="006C6D09"/>
    <w:rsid w:val="006D3484"/>
    <w:rsid w:val="006D7508"/>
    <w:rsid w:val="006E09BB"/>
    <w:rsid w:val="006E6AF4"/>
    <w:rsid w:val="006E7D40"/>
    <w:rsid w:val="006F0F91"/>
    <w:rsid w:val="006F101B"/>
    <w:rsid w:val="006F14AB"/>
    <w:rsid w:val="006F343E"/>
    <w:rsid w:val="006F3AF4"/>
    <w:rsid w:val="006F4F88"/>
    <w:rsid w:val="006F5481"/>
    <w:rsid w:val="00702F6F"/>
    <w:rsid w:val="00705EF0"/>
    <w:rsid w:val="00706496"/>
    <w:rsid w:val="00710037"/>
    <w:rsid w:val="00711255"/>
    <w:rsid w:val="0071491C"/>
    <w:rsid w:val="007216B0"/>
    <w:rsid w:val="00721BDC"/>
    <w:rsid w:val="007229B5"/>
    <w:rsid w:val="0072322E"/>
    <w:rsid w:val="00726F66"/>
    <w:rsid w:val="00730ADD"/>
    <w:rsid w:val="007315F1"/>
    <w:rsid w:val="00734621"/>
    <w:rsid w:val="00735286"/>
    <w:rsid w:val="00736729"/>
    <w:rsid w:val="00737C84"/>
    <w:rsid w:val="00741993"/>
    <w:rsid w:val="00743295"/>
    <w:rsid w:val="00746E93"/>
    <w:rsid w:val="00751613"/>
    <w:rsid w:val="00754042"/>
    <w:rsid w:val="007569FC"/>
    <w:rsid w:val="00757AA7"/>
    <w:rsid w:val="007608D7"/>
    <w:rsid w:val="0076176B"/>
    <w:rsid w:val="00766A38"/>
    <w:rsid w:val="0077206E"/>
    <w:rsid w:val="0077294E"/>
    <w:rsid w:val="00781255"/>
    <w:rsid w:val="00781DCF"/>
    <w:rsid w:val="007843BD"/>
    <w:rsid w:val="0078486F"/>
    <w:rsid w:val="00786109"/>
    <w:rsid w:val="0078712D"/>
    <w:rsid w:val="00792344"/>
    <w:rsid w:val="00793F25"/>
    <w:rsid w:val="00794B0D"/>
    <w:rsid w:val="007979C1"/>
    <w:rsid w:val="007A55ED"/>
    <w:rsid w:val="007B0031"/>
    <w:rsid w:val="007B0769"/>
    <w:rsid w:val="007B141D"/>
    <w:rsid w:val="007B1A15"/>
    <w:rsid w:val="007B3DA5"/>
    <w:rsid w:val="007B5888"/>
    <w:rsid w:val="007B79F7"/>
    <w:rsid w:val="007C3507"/>
    <w:rsid w:val="007C552D"/>
    <w:rsid w:val="007C5698"/>
    <w:rsid w:val="007C62DC"/>
    <w:rsid w:val="007C6489"/>
    <w:rsid w:val="007D52E5"/>
    <w:rsid w:val="007E4891"/>
    <w:rsid w:val="007E5959"/>
    <w:rsid w:val="007F49A3"/>
    <w:rsid w:val="007F7C27"/>
    <w:rsid w:val="008011B4"/>
    <w:rsid w:val="00801768"/>
    <w:rsid w:val="00801D4D"/>
    <w:rsid w:val="0080307A"/>
    <w:rsid w:val="008133F0"/>
    <w:rsid w:val="0082310C"/>
    <w:rsid w:val="00824115"/>
    <w:rsid w:val="0082414A"/>
    <w:rsid w:val="0083358C"/>
    <w:rsid w:val="00836CC5"/>
    <w:rsid w:val="008371D5"/>
    <w:rsid w:val="008466FC"/>
    <w:rsid w:val="00846D22"/>
    <w:rsid w:val="00850CB5"/>
    <w:rsid w:val="00857976"/>
    <w:rsid w:val="00862295"/>
    <w:rsid w:val="008626E4"/>
    <w:rsid w:val="00863452"/>
    <w:rsid w:val="008651D0"/>
    <w:rsid w:val="00865416"/>
    <w:rsid w:val="00865421"/>
    <w:rsid w:val="008659FC"/>
    <w:rsid w:val="00867998"/>
    <w:rsid w:val="008730D6"/>
    <w:rsid w:val="00873E0F"/>
    <w:rsid w:val="00874EAC"/>
    <w:rsid w:val="00877373"/>
    <w:rsid w:val="00880D33"/>
    <w:rsid w:val="00881707"/>
    <w:rsid w:val="0088278C"/>
    <w:rsid w:val="00887C50"/>
    <w:rsid w:val="00897897"/>
    <w:rsid w:val="008A35C1"/>
    <w:rsid w:val="008B0AC0"/>
    <w:rsid w:val="008B171C"/>
    <w:rsid w:val="008B2F6F"/>
    <w:rsid w:val="008B4D53"/>
    <w:rsid w:val="008B5669"/>
    <w:rsid w:val="008B5894"/>
    <w:rsid w:val="008B61CD"/>
    <w:rsid w:val="008D32C8"/>
    <w:rsid w:val="008D35FD"/>
    <w:rsid w:val="008D64D9"/>
    <w:rsid w:val="008D72A7"/>
    <w:rsid w:val="008E0C74"/>
    <w:rsid w:val="008E22B6"/>
    <w:rsid w:val="008E3044"/>
    <w:rsid w:val="008E7833"/>
    <w:rsid w:val="008F1E57"/>
    <w:rsid w:val="008F2CF0"/>
    <w:rsid w:val="008F35B3"/>
    <w:rsid w:val="008F6A16"/>
    <w:rsid w:val="00900D5A"/>
    <w:rsid w:val="00913B44"/>
    <w:rsid w:val="00914EAD"/>
    <w:rsid w:val="009210AE"/>
    <w:rsid w:val="0092337A"/>
    <w:rsid w:val="009236DC"/>
    <w:rsid w:val="00923F61"/>
    <w:rsid w:val="00937ECF"/>
    <w:rsid w:val="00937EF6"/>
    <w:rsid w:val="0094229D"/>
    <w:rsid w:val="00944B02"/>
    <w:rsid w:val="00947D45"/>
    <w:rsid w:val="009513FE"/>
    <w:rsid w:val="00952076"/>
    <w:rsid w:val="0095307E"/>
    <w:rsid w:val="00954EC7"/>
    <w:rsid w:val="00955D3E"/>
    <w:rsid w:val="009571A3"/>
    <w:rsid w:val="00961A01"/>
    <w:rsid w:val="00966478"/>
    <w:rsid w:val="0098350D"/>
    <w:rsid w:val="00983650"/>
    <w:rsid w:val="00984CC6"/>
    <w:rsid w:val="00987FF6"/>
    <w:rsid w:val="00992F0C"/>
    <w:rsid w:val="00996C7F"/>
    <w:rsid w:val="009A32A3"/>
    <w:rsid w:val="009A5462"/>
    <w:rsid w:val="009B0BAF"/>
    <w:rsid w:val="009B263C"/>
    <w:rsid w:val="009B27B8"/>
    <w:rsid w:val="009B3360"/>
    <w:rsid w:val="009B4F4A"/>
    <w:rsid w:val="009B6111"/>
    <w:rsid w:val="009B68D8"/>
    <w:rsid w:val="009B6EE4"/>
    <w:rsid w:val="009C24B3"/>
    <w:rsid w:val="009C3409"/>
    <w:rsid w:val="009C4124"/>
    <w:rsid w:val="009C6886"/>
    <w:rsid w:val="009C7D17"/>
    <w:rsid w:val="009D5893"/>
    <w:rsid w:val="009E0F1E"/>
    <w:rsid w:val="009E1940"/>
    <w:rsid w:val="009E2725"/>
    <w:rsid w:val="009E4A80"/>
    <w:rsid w:val="009F0E83"/>
    <w:rsid w:val="009F2F18"/>
    <w:rsid w:val="00A0253D"/>
    <w:rsid w:val="00A06BC7"/>
    <w:rsid w:val="00A0760A"/>
    <w:rsid w:val="00A10C0A"/>
    <w:rsid w:val="00A13D3A"/>
    <w:rsid w:val="00A152DE"/>
    <w:rsid w:val="00A20621"/>
    <w:rsid w:val="00A32719"/>
    <w:rsid w:val="00A34F79"/>
    <w:rsid w:val="00A35638"/>
    <w:rsid w:val="00A51540"/>
    <w:rsid w:val="00A5517D"/>
    <w:rsid w:val="00A553E4"/>
    <w:rsid w:val="00A55495"/>
    <w:rsid w:val="00A55585"/>
    <w:rsid w:val="00A64A71"/>
    <w:rsid w:val="00A66C02"/>
    <w:rsid w:val="00A711C8"/>
    <w:rsid w:val="00A713A1"/>
    <w:rsid w:val="00A7320D"/>
    <w:rsid w:val="00A7417B"/>
    <w:rsid w:val="00A75986"/>
    <w:rsid w:val="00A77EAB"/>
    <w:rsid w:val="00A85BDF"/>
    <w:rsid w:val="00A90394"/>
    <w:rsid w:val="00A93EF5"/>
    <w:rsid w:val="00A97BA5"/>
    <w:rsid w:val="00AA61A5"/>
    <w:rsid w:val="00AA7402"/>
    <w:rsid w:val="00AB415A"/>
    <w:rsid w:val="00AC4492"/>
    <w:rsid w:val="00AC5073"/>
    <w:rsid w:val="00AC5998"/>
    <w:rsid w:val="00AD394E"/>
    <w:rsid w:val="00AD46EE"/>
    <w:rsid w:val="00AD511D"/>
    <w:rsid w:val="00AD5ACF"/>
    <w:rsid w:val="00AD6685"/>
    <w:rsid w:val="00AE23D2"/>
    <w:rsid w:val="00AE7743"/>
    <w:rsid w:val="00AF0431"/>
    <w:rsid w:val="00AF440D"/>
    <w:rsid w:val="00AF5FFD"/>
    <w:rsid w:val="00AF69B9"/>
    <w:rsid w:val="00B021F4"/>
    <w:rsid w:val="00B138A7"/>
    <w:rsid w:val="00B13C0F"/>
    <w:rsid w:val="00B14BEF"/>
    <w:rsid w:val="00B21729"/>
    <w:rsid w:val="00B2283D"/>
    <w:rsid w:val="00B2622C"/>
    <w:rsid w:val="00B30ADB"/>
    <w:rsid w:val="00B36F1E"/>
    <w:rsid w:val="00B4003E"/>
    <w:rsid w:val="00B43047"/>
    <w:rsid w:val="00B439E9"/>
    <w:rsid w:val="00B43F82"/>
    <w:rsid w:val="00B44E19"/>
    <w:rsid w:val="00B46361"/>
    <w:rsid w:val="00B50550"/>
    <w:rsid w:val="00B512C1"/>
    <w:rsid w:val="00B53FE6"/>
    <w:rsid w:val="00B552B5"/>
    <w:rsid w:val="00B570F1"/>
    <w:rsid w:val="00B57E27"/>
    <w:rsid w:val="00B639E1"/>
    <w:rsid w:val="00B63FD5"/>
    <w:rsid w:val="00B669E5"/>
    <w:rsid w:val="00B67343"/>
    <w:rsid w:val="00B673E9"/>
    <w:rsid w:val="00B74467"/>
    <w:rsid w:val="00B759A4"/>
    <w:rsid w:val="00B77B8B"/>
    <w:rsid w:val="00B81C09"/>
    <w:rsid w:val="00B81CB9"/>
    <w:rsid w:val="00B873CD"/>
    <w:rsid w:val="00B87999"/>
    <w:rsid w:val="00B940EF"/>
    <w:rsid w:val="00BA11AF"/>
    <w:rsid w:val="00BA6546"/>
    <w:rsid w:val="00BB75A1"/>
    <w:rsid w:val="00BB77D3"/>
    <w:rsid w:val="00BC588B"/>
    <w:rsid w:val="00BD1481"/>
    <w:rsid w:val="00BD32CC"/>
    <w:rsid w:val="00BD5EE3"/>
    <w:rsid w:val="00BD60E8"/>
    <w:rsid w:val="00BF0CE9"/>
    <w:rsid w:val="00BF2412"/>
    <w:rsid w:val="00BF45E1"/>
    <w:rsid w:val="00BF4EE5"/>
    <w:rsid w:val="00BF5539"/>
    <w:rsid w:val="00BF6C7D"/>
    <w:rsid w:val="00C04E72"/>
    <w:rsid w:val="00C06541"/>
    <w:rsid w:val="00C0674E"/>
    <w:rsid w:val="00C06BBE"/>
    <w:rsid w:val="00C15408"/>
    <w:rsid w:val="00C17201"/>
    <w:rsid w:val="00C17ED2"/>
    <w:rsid w:val="00C22281"/>
    <w:rsid w:val="00C233C8"/>
    <w:rsid w:val="00C35789"/>
    <w:rsid w:val="00C40A1C"/>
    <w:rsid w:val="00C40EEA"/>
    <w:rsid w:val="00C414C2"/>
    <w:rsid w:val="00C41E07"/>
    <w:rsid w:val="00C4306A"/>
    <w:rsid w:val="00C477EB"/>
    <w:rsid w:val="00C53444"/>
    <w:rsid w:val="00C5556E"/>
    <w:rsid w:val="00C55E2D"/>
    <w:rsid w:val="00C62C1D"/>
    <w:rsid w:val="00C65210"/>
    <w:rsid w:val="00C70270"/>
    <w:rsid w:val="00C7357C"/>
    <w:rsid w:val="00C73993"/>
    <w:rsid w:val="00C747F7"/>
    <w:rsid w:val="00C82E93"/>
    <w:rsid w:val="00C85081"/>
    <w:rsid w:val="00C86B4E"/>
    <w:rsid w:val="00C87DF5"/>
    <w:rsid w:val="00C91D9C"/>
    <w:rsid w:val="00C93E28"/>
    <w:rsid w:val="00C94E48"/>
    <w:rsid w:val="00CA003F"/>
    <w:rsid w:val="00CA217F"/>
    <w:rsid w:val="00CA278B"/>
    <w:rsid w:val="00CA72AD"/>
    <w:rsid w:val="00CB2ED9"/>
    <w:rsid w:val="00CB5C69"/>
    <w:rsid w:val="00CB61D4"/>
    <w:rsid w:val="00CC5690"/>
    <w:rsid w:val="00CC68CB"/>
    <w:rsid w:val="00CC6DDE"/>
    <w:rsid w:val="00CD0702"/>
    <w:rsid w:val="00CD5BDF"/>
    <w:rsid w:val="00CD713A"/>
    <w:rsid w:val="00CD79FA"/>
    <w:rsid w:val="00CD7ED6"/>
    <w:rsid w:val="00CE1CC4"/>
    <w:rsid w:val="00CE3BAC"/>
    <w:rsid w:val="00CE461E"/>
    <w:rsid w:val="00CE5799"/>
    <w:rsid w:val="00CE6020"/>
    <w:rsid w:val="00CE6590"/>
    <w:rsid w:val="00CE6E22"/>
    <w:rsid w:val="00CF116A"/>
    <w:rsid w:val="00CF7E05"/>
    <w:rsid w:val="00D039C9"/>
    <w:rsid w:val="00D04842"/>
    <w:rsid w:val="00D06505"/>
    <w:rsid w:val="00D07927"/>
    <w:rsid w:val="00D11AB2"/>
    <w:rsid w:val="00D142DF"/>
    <w:rsid w:val="00D145C1"/>
    <w:rsid w:val="00D2204D"/>
    <w:rsid w:val="00D222DA"/>
    <w:rsid w:val="00D27B96"/>
    <w:rsid w:val="00D3221A"/>
    <w:rsid w:val="00D33919"/>
    <w:rsid w:val="00D34653"/>
    <w:rsid w:val="00D34908"/>
    <w:rsid w:val="00D4094F"/>
    <w:rsid w:val="00D47EAD"/>
    <w:rsid w:val="00D53C6A"/>
    <w:rsid w:val="00D545DC"/>
    <w:rsid w:val="00D5539B"/>
    <w:rsid w:val="00D56027"/>
    <w:rsid w:val="00D60A1E"/>
    <w:rsid w:val="00D623BF"/>
    <w:rsid w:val="00D64758"/>
    <w:rsid w:val="00D7047F"/>
    <w:rsid w:val="00D76E5C"/>
    <w:rsid w:val="00D917A6"/>
    <w:rsid w:val="00D93DFD"/>
    <w:rsid w:val="00D95131"/>
    <w:rsid w:val="00D9760F"/>
    <w:rsid w:val="00DA33B9"/>
    <w:rsid w:val="00DA377B"/>
    <w:rsid w:val="00DA488F"/>
    <w:rsid w:val="00DB08B1"/>
    <w:rsid w:val="00DB3098"/>
    <w:rsid w:val="00DB42FA"/>
    <w:rsid w:val="00DB69C2"/>
    <w:rsid w:val="00DC20A5"/>
    <w:rsid w:val="00DC4034"/>
    <w:rsid w:val="00DC4686"/>
    <w:rsid w:val="00DC53E2"/>
    <w:rsid w:val="00DC788B"/>
    <w:rsid w:val="00DC78F2"/>
    <w:rsid w:val="00DD149A"/>
    <w:rsid w:val="00DD1C18"/>
    <w:rsid w:val="00DD5569"/>
    <w:rsid w:val="00DD6B71"/>
    <w:rsid w:val="00DD765E"/>
    <w:rsid w:val="00DE0FB8"/>
    <w:rsid w:val="00DE6BB4"/>
    <w:rsid w:val="00DE777D"/>
    <w:rsid w:val="00DF6B42"/>
    <w:rsid w:val="00DF6C9E"/>
    <w:rsid w:val="00E016C2"/>
    <w:rsid w:val="00E01BFC"/>
    <w:rsid w:val="00E0216F"/>
    <w:rsid w:val="00E044E6"/>
    <w:rsid w:val="00E14C7D"/>
    <w:rsid w:val="00E20341"/>
    <w:rsid w:val="00E22D27"/>
    <w:rsid w:val="00E27CE6"/>
    <w:rsid w:val="00E40697"/>
    <w:rsid w:val="00E47CF8"/>
    <w:rsid w:val="00E52035"/>
    <w:rsid w:val="00E53A56"/>
    <w:rsid w:val="00E552E3"/>
    <w:rsid w:val="00E63A3B"/>
    <w:rsid w:val="00E63F5F"/>
    <w:rsid w:val="00E64428"/>
    <w:rsid w:val="00E6760F"/>
    <w:rsid w:val="00E7230D"/>
    <w:rsid w:val="00E801B9"/>
    <w:rsid w:val="00E8560C"/>
    <w:rsid w:val="00E87DAE"/>
    <w:rsid w:val="00E90809"/>
    <w:rsid w:val="00E920B2"/>
    <w:rsid w:val="00E9296C"/>
    <w:rsid w:val="00EA265B"/>
    <w:rsid w:val="00EA55E8"/>
    <w:rsid w:val="00EA7090"/>
    <w:rsid w:val="00EA780B"/>
    <w:rsid w:val="00EA7E47"/>
    <w:rsid w:val="00EC2EF1"/>
    <w:rsid w:val="00EC50AD"/>
    <w:rsid w:val="00EC55C0"/>
    <w:rsid w:val="00EC7522"/>
    <w:rsid w:val="00ED078D"/>
    <w:rsid w:val="00ED2E99"/>
    <w:rsid w:val="00ED4E4C"/>
    <w:rsid w:val="00ED673A"/>
    <w:rsid w:val="00ED7049"/>
    <w:rsid w:val="00ED742C"/>
    <w:rsid w:val="00EE15DB"/>
    <w:rsid w:val="00EE4AE7"/>
    <w:rsid w:val="00EE68F2"/>
    <w:rsid w:val="00EF68C9"/>
    <w:rsid w:val="00F00183"/>
    <w:rsid w:val="00F0180B"/>
    <w:rsid w:val="00F066DC"/>
    <w:rsid w:val="00F1461D"/>
    <w:rsid w:val="00F14EA2"/>
    <w:rsid w:val="00F16615"/>
    <w:rsid w:val="00F22D43"/>
    <w:rsid w:val="00F22EF9"/>
    <w:rsid w:val="00F32A11"/>
    <w:rsid w:val="00F333C5"/>
    <w:rsid w:val="00F475F8"/>
    <w:rsid w:val="00F519AD"/>
    <w:rsid w:val="00F52450"/>
    <w:rsid w:val="00F54702"/>
    <w:rsid w:val="00F60688"/>
    <w:rsid w:val="00F61E64"/>
    <w:rsid w:val="00F83B09"/>
    <w:rsid w:val="00F84475"/>
    <w:rsid w:val="00F8508E"/>
    <w:rsid w:val="00F85F85"/>
    <w:rsid w:val="00F90061"/>
    <w:rsid w:val="00F9180B"/>
    <w:rsid w:val="00FA0D78"/>
    <w:rsid w:val="00FA5307"/>
    <w:rsid w:val="00FA57B7"/>
    <w:rsid w:val="00FA5825"/>
    <w:rsid w:val="00FA749F"/>
    <w:rsid w:val="00FB1CC1"/>
    <w:rsid w:val="00FB28FC"/>
    <w:rsid w:val="00FB316F"/>
    <w:rsid w:val="00FB7D1A"/>
    <w:rsid w:val="00FC4971"/>
    <w:rsid w:val="00FC498B"/>
    <w:rsid w:val="00FC5899"/>
    <w:rsid w:val="00FD01F1"/>
    <w:rsid w:val="00FD085C"/>
    <w:rsid w:val="00FD13A7"/>
    <w:rsid w:val="00FD18EF"/>
    <w:rsid w:val="00FE02F0"/>
    <w:rsid w:val="00FE6CD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8F8"/>
  <w15:chartTrackingRefBased/>
  <w15:docId w15:val="{C238765D-365D-4EDD-808F-138F63B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5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95289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7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3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4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7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8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5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1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278033&amp;date=07.04.2023" TargetMode="External"/><Relationship Id="rId18" Type="http://schemas.openxmlformats.org/officeDocument/2006/relationships/hyperlink" Target="https://login.consultant.ru/link/?req=doc&amp;base=MOB&amp;n=320873&amp;dst=100005&amp;field=134&amp;date=07.04.2023" TargetMode="External"/><Relationship Id="rId26" Type="http://schemas.openxmlformats.org/officeDocument/2006/relationships/hyperlink" Target="https://login.consultant.ru/link/?req=doc&amp;base=MOB&amp;n=320873&amp;dst=100007&amp;field=134&amp;date=07.04.2023" TargetMode="External"/><Relationship Id="rId39" Type="http://schemas.openxmlformats.org/officeDocument/2006/relationships/hyperlink" Target="https://login.consultant.ru/link/?req=doc&amp;base=MOB&amp;n=378301&amp;dst=100006&amp;field=134&amp;date=07.04.2023" TargetMode="External"/><Relationship Id="rId21" Type="http://schemas.openxmlformats.org/officeDocument/2006/relationships/hyperlink" Target="https://login.consultant.ru/link/?req=doc&amp;base=MOB&amp;n=366442&amp;dst=100005&amp;field=134&amp;date=07.04.2023" TargetMode="External"/><Relationship Id="rId34" Type="http://schemas.openxmlformats.org/officeDocument/2006/relationships/hyperlink" Target="https://login.consultant.ru/link/?req=doc&amp;base=LAW&amp;n=436907&amp;dst=1399&amp;field=134&amp;date=07.04.2023" TargetMode="External"/><Relationship Id="rId42" Type="http://schemas.openxmlformats.org/officeDocument/2006/relationships/hyperlink" Target="https://login.consultant.ru/link/?req=doc&amp;base=LAW&amp;n=436907&amp;dst=9207&amp;field=134&amp;date=07.04.2023" TargetMode="External"/><Relationship Id="rId47" Type="http://schemas.openxmlformats.org/officeDocument/2006/relationships/hyperlink" Target="https://login.consultant.ru/link/?req=doc&amp;base=LAW&amp;n=428954&amp;date=07.04.2023" TargetMode="External"/><Relationship Id="rId50" Type="http://schemas.openxmlformats.org/officeDocument/2006/relationships/hyperlink" Target="https://login.consultant.ru/link/?req=doc&amp;base=LAW&amp;n=428954&amp;dst=103914&amp;field=134&amp;date=07.04.2023" TargetMode="External"/><Relationship Id="rId55" Type="http://schemas.openxmlformats.org/officeDocument/2006/relationships/hyperlink" Target="https://login.consultant.ru/link/?req=doc&amp;base=MOB&amp;n=320873&amp;dst=100015&amp;field=134&amp;date=07.04.2023" TargetMode="External"/><Relationship Id="rId7" Type="http://schemas.openxmlformats.org/officeDocument/2006/relationships/hyperlink" Target="https://login.consultant.ru/link/?req=doc&amp;base=MOB&amp;n=335993&amp;dst=100005&amp;field=134&amp;date=07.04.2023" TargetMode="External"/><Relationship Id="rId12" Type="http://schemas.openxmlformats.org/officeDocument/2006/relationships/hyperlink" Target="https://login.consultant.ru/link/?req=doc&amp;base=MOB&amp;n=298962&amp;date=07.04.2023" TargetMode="External"/><Relationship Id="rId17" Type="http://schemas.openxmlformats.org/officeDocument/2006/relationships/hyperlink" Target="https://login.consultant.ru/link/?req=doc&amp;base=MOB&amp;n=279763&amp;date=07.04.2023" TargetMode="External"/><Relationship Id="rId25" Type="http://schemas.openxmlformats.org/officeDocument/2006/relationships/hyperlink" Target="https://login.consultant.ru/link/?req=doc&amp;base=LAW&amp;n=442371&amp;date=07.04.2023" TargetMode="External"/><Relationship Id="rId33" Type="http://schemas.openxmlformats.org/officeDocument/2006/relationships/hyperlink" Target="https://login.consultant.ru/link/?req=doc&amp;base=MOB&amp;n=366442&amp;dst=100010&amp;field=134&amp;date=07.04.2023" TargetMode="External"/><Relationship Id="rId38" Type="http://schemas.openxmlformats.org/officeDocument/2006/relationships/hyperlink" Target="https://login.consultant.ru/link/?req=doc&amp;base=LAW&amp;n=420796&amp;date=07.04.2023" TargetMode="External"/><Relationship Id="rId46" Type="http://schemas.openxmlformats.org/officeDocument/2006/relationships/hyperlink" Target="https://login.consultant.ru/link/?req=doc&amp;base=LAW&amp;n=438456&amp;dst=100410&amp;field=134&amp;date=07.04.202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77823&amp;date=07.04.2023" TargetMode="External"/><Relationship Id="rId20" Type="http://schemas.openxmlformats.org/officeDocument/2006/relationships/hyperlink" Target="https://login.consultant.ru/link/?req=doc&amp;base=MOB&amp;n=335993&amp;dst=100005&amp;field=134&amp;date=07.04.2023" TargetMode="External"/><Relationship Id="rId29" Type="http://schemas.openxmlformats.org/officeDocument/2006/relationships/hyperlink" Target="https://login.consultant.ru/link/?req=doc&amp;base=LAW&amp;n=442371&amp;dst=101319&amp;field=134&amp;date=07.04.2023" TargetMode="External"/><Relationship Id="rId41" Type="http://schemas.openxmlformats.org/officeDocument/2006/relationships/hyperlink" Target="https://login.consultant.ru/link/?req=doc&amp;base=MOB&amp;n=335993&amp;dst=100005&amp;field=134&amp;date=07.04.2023" TargetMode="External"/><Relationship Id="rId54" Type="http://schemas.openxmlformats.org/officeDocument/2006/relationships/hyperlink" Target="https://login.consultant.ru/link/?req=doc&amp;base=MOB&amp;n=320873&amp;dst=100013&amp;field=134&amp;date=07.04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20875&amp;dst=100005&amp;field=134&amp;date=07.04.2023" TargetMode="External"/><Relationship Id="rId11" Type="http://schemas.openxmlformats.org/officeDocument/2006/relationships/hyperlink" Target="https://login.consultant.ru/link/?req=doc&amp;base=LAW&amp;n=436907&amp;dst=1347&amp;field=134&amp;date=07.04.2023" TargetMode="External"/><Relationship Id="rId24" Type="http://schemas.openxmlformats.org/officeDocument/2006/relationships/hyperlink" Target="https://login.consultant.ru/link/?req=doc&amp;base=LAW&amp;n=436907&amp;dst=1345&amp;field=134&amp;date=07.04.2023" TargetMode="External"/><Relationship Id="rId32" Type="http://schemas.openxmlformats.org/officeDocument/2006/relationships/hyperlink" Target="https://login.consultant.ru/link/?req=doc&amp;base=MOB&amp;n=366442&amp;dst=100008&amp;field=134&amp;date=07.04.2023" TargetMode="External"/><Relationship Id="rId37" Type="http://schemas.openxmlformats.org/officeDocument/2006/relationships/hyperlink" Target="https://login.consultant.ru/link/?req=doc&amp;base=LAW&amp;n=355883&amp;date=07.04.2023" TargetMode="External"/><Relationship Id="rId40" Type="http://schemas.openxmlformats.org/officeDocument/2006/relationships/hyperlink" Target="https://login.consultant.ru/link/?req=doc&amp;base=MOB&amp;n=320875&amp;dst=100005&amp;field=134&amp;date=07.04.2023" TargetMode="External"/><Relationship Id="rId45" Type="http://schemas.openxmlformats.org/officeDocument/2006/relationships/hyperlink" Target="https://login.consultant.ru/link/?req=doc&amp;base=LAW&amp;n=438456&amp;dst=100260&amp;field=134&amp;date=07.04.2023" TargetMode="External"/><Relationship Id="rId53" Type="http://schemas.openxmlformats.org/officeDocument/2006/relationships/hyperlink" Target="https://login.consultant.ru/link/?req=doc&amp;base=LAW&amp;n=428954&amp;dst=104790&amp;field=134&amp;date=07.04.202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20873&amp;dst=100005&amp;field=134&amp;date=07.04.2023" TargetMode="External"/><Relationship Id="rId15" Type="http://schemas.openxmlformats.org/officeDocument/2006/relationships/hyperlink" Target="https://login.consultant.ru/link/?req=doc&amp;base=MOB&amp;n=284242&amp;date=07.04.2023" TargetMode="External"/><Relationship Id="rId23" Type="http://schemas.openxmlformats.org/officeDocument/2006/relationships/hyperlink" Target="https://login.consultant.ru/link/?req=doc&amp;base=LAW&amp;n=436907&amp;dst=1345&amp;field=134&amp;date=07.04.2023" TargetMode="External"/><Relationship Id="rId28" Type="http://schemas.openxmlformats.org/officeDocument/2006/relationships/hyperlink" Target="https://login.consultant.ru/link/?req=doc&amp;base=MOB&amp;n=366442&amp;dst=100007&amp;field=134&amp;date=07.04.2023" TargetMode="External"/><Relationship Id="rId36" Type="http://schemas.openxmlformats.org/officeDocument/2006/relationships/hyperlink" Target="https://login.consultant.ru/link/?req=doc&amp;base=LAW&amp;n=436907&amp;dst=15360&amp;field=134&amp;date=07.04.2023" TargetMode="External"/><Relationship Id="rId49" Type="http://schemas.openxmlformats.org/officeDocument/2006/relationships/hyperlink" Target="https://login.consultant.ru/link/?req=doc&amp;base=LAW&amp;n=428954&amp;dst=100711&amp;field=134&amp;date=07.04.2023" TargetMode="External"/><Relationship Id="rId57" Type="http://schemas.openxmlformats.org/officeDocument/2006/relationships/hyperlink" Target="https://login.consultant.ru/link/?req=doc&amp;base=MOB&amp;n=320873&amp;dst=100016&amp;field=134&amp;date=07.04.2023" TargetMode="External"/><Relationship Id="rId10" Type="http://schemas.openxmlformats.org/officeDocument/2006/relationships/hyperlink" Target="https://login.consultant.ru/link/?req=doc&amp;base=LAW&amp;n=439194&amp;dst=101359&amp;field=134&amp;date=07.04.2023" TargetMode="External"/><Relationship Id="rId19" Type="http://schemas.openxmlformats.org/officeDocument/2006/relationships/hyperlink" Target="https://login.consultant.ru/link/?req=doc&amp;base=MOB&amp;n=320875&amp;dst=100005&amp;field=134&amp;date=07.04.2023" TargetMode="External"/><Relationship Id="rId31" Type="http://schemas.openxmlformats.org/officeDocument/2006/relationships/hyperlink" Target="https://login.consultant.ru/link/?req=doc&amp;base=MOB&amp;n=320873&amp;dst=100011&amp;field=134&amp;date=07.04.2023" TargetMode="External"/><Relationship Id="rId44" Type="http://schemas.openxmlformats.org/officeDocument/2006/relationships/hyperlink" Target="https://login.consultant.ru/link/?req=doc&amp;base=LAW&amp;n=438456&amp;date=07.04.2023" TargetMode="External"/><Relationship Id="rId52" Type="http://schemas.openxmlformats.org/officeDocument/2006/relationships/hyperlink" Target="https://login.consultant.ru/link/?req=doc&amp;base=LAW&amp;n=428954&amp;dst=104750&amp;field=134&amp;date=07.04.2023" TargetMode="External"/><Relationship Id="rId4" Type="http://schemas.openxmlformats.org/officeDocument/2006/relationships/hyperlink" Target="https://login.consultant.ru/link/?req=doc&amp;base=MOB&amp;n=316322&amp;dst=100005&amp;field=134&amp;date=07.04.2023" TargetMode="External"/><Relationship Id="rId9" Type="http://schemas.openxmlformats.org/officeDocument/2006/relationships/hyperlink" Target="https://login.consultant.ru/link/?req=doc&amp;base=MOB&amp;n=378301&amp;dst=100005&amp;field=134&amp;date=07.04.2023" TargetMode="External"/><Relationship Id="rId14" Type="http://schemas.openxmlformats.org/officeDocument/2006/relationships/hyperlink" Target="https://login.consultant.ru/link/?req=doc&amp;base=MOB&amp;n=277608&amp;date=07.04.2023" TargetMode="External"/><Relationship Id="rId22" Type="http://schemas.openxmlformats.org/officeDocument/2006/relationships/hyperlink" Target="https://login.consultant.ru/link/?req=doc&amp;base=MOB&amp;n=378301&amp;dst=100005&amp;field=134&amp;date=07.04.2023" TargetMode="External"/><Relationship Id="rId27" Type="http://schemas.openxmlformats.org/officeDocument/2006/relationships/hyperlink" Target="https://login.consultant.ru/link/?req=doc&amp;base=MOB&amp;n=320873&amp;dst=100009&amp;field=134&amp;date=07.04.2023" TargetMode="External"/><Relationship Id="rId30" Type="http://schemas.openxmlformats.org/officeDocument/2006/relationships/hyperlink" Target="https://login.consultant.ru/link/?req=doc&amp;base=LAW&amp;n=442371&amp;date=07.04.2023" TargetMode="External"/><Relationship Id="rId35" Type="http://schemas.openxmlformats.org/officeDocument/2006/relationships/hyperlink" Target="https://login.consultant.ru/link/?req=doc&amp;base=LAW&amp;n=436907&amp;dst=15358&amp;field=134&amp;date=07.04.2023" TargetMode="External"/><Relationship Id="rId43" Type="http://schemas.openxmlformats.org/officeDocument/2006/relationships/hyperlink" Target="https://login.consultant.ru/link/?req=doc&amp;base=LAW&amp;n=436907&amp;dst=9207&amp;field=134&amp;date=07.04.2023" TargetMode="External"/><Relationship Id="rId48" Type="http://schemas.openxmlformats.org/officeDocument/2006/relationships/hyperlink" Target="https://login.consultant.ru/link/?req=doc&amp;base=LAW&amp;n=428954&amp;dst=100133&amp;field=134&amp;date=07.04.2023" TargetMode="External"/><Relationship Id="rId56" Type="http://schemas.openxmlformats.org/officeDocument/2006/relationships/hyperlink" Target="https://login.consultant.ru/link/?req=doc&amp;base=LAW&amp;n=422253&amp;date=07.04.2023" TargetMode="External"/><Relationship Id="rId8" Type="http://schemas.openxmlformats.org/officeDocument/2006/relationships/hyperlink" Target="https://login.consultant.ru/link/?req=doc&amp;base=MOB&amp;n=366442&amp;dst=100005&amp;field=134&amp;date=07.04.2023" TargetMode="External"/><Relationship Id="rId51" Type="http://schemas.openxmlformats.org/officeDocument/2006/relationships/hyperlink" Target="https://login.consultant.ru/link/?req=doc&amp;base=LAW&amp;n=428954&amp;dst=104307&amp;field=134&amp;date=07.04.20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Т.А.</dc:creator>
  <cp:keywords/>
  <dc:description/>
  <cp:lastModifiedBy>Молодцова Т.А.</cp:lastModifiedBy>
  <cp:revision>3</cp:revision>
  <dcterms:created xsi:type="dcterms:W3CDTF">2023-11-01T11:06:00Z</dcterms:created>
  <dcterms:modified xsi:type="dcterms:W3CDTF">2023-11-01T11:13:00Z</dcterms:modified>
</cp:coreProperties>
</file>